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EDITAL DO PROGRAMA DE MOBILIDADE VIRTUAL DA ABRUEM 2020-1</w:t>
      </w:r>
    </w:p>
    <w:p w:rsidR="00F8621D" w:rsidRPr="001C362E" w:rsidRDefault="00C517FC">
      <w:pPr>
        <w:pStyle w:val="Padro"/>
        <w:jc w:val="center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CÂMARA DE </w:t>
      </w:r>
      <w:proofErr w:type="spellStart"/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EaD</w:t>
      </w:r>
      <w:proofErr w:type="spellEnd"/>
    </w:p>
    <w:p w:rsidR="00F8621D" w:rsidRPr="001C362E" w:rsidRDefault="00C517FC">
      <w:pPr>
        <w:pStyle w:val="Padro"/>
        <w:rPr>
          <w:rFonts w:ascii="Times New Roman" w:eastAsia="Times New Roman" w:hAnsi="Times New Roman" w:cs="Times New Roman"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</w:p>
    <w:p w:rsidR="00F8621D" w:rsidRPr="001C362E" w:rsidRDefault="00F8621D">
      <w:pPr>
        <w:pStyle w:val="Padro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Câmara de </w:t>
      </w:r>
      <w:proofErr w:type="spellStart"/>
      <w:r w:rsidRPr="001C362E">
        <w:rPr>
          <w:rFonts w:ascii="Times New Roman" w:eastAsia="Times New Roman" w:hAnsi="Times New Roman" w:cs="Times New Roman"/>
          <w:color w:val="00000A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/UAB da Associação Brasileira dos Reitores das Universidades Estaduais e Municipais - ABRUEM, no uso de suas atribuições acadêmicas e administrativas, objetivando a chamada do Programa de Mobilidade Virtual, em parceria com as Instituições de Ensino Superior (IES) Estaduais e Municipais, torna público aos estudantes de graduação das IES filiadas as vagas ofertadas, as disciplinas, os cursos e os procedimentos e prazos para apresentação de candidaturas </w:t>
      </w:r>
    </w:p>
    <w:p w:rsidR="00F8621D" w:rsidRPr="001C362E" w:rsidRDefault="002D5CC2">
      <w:pPr>
        <w:pStyle w:val="Padro"/>
        <w:jc w:val="both"/>
        <w:rPr>
          <w:rFonts w:ascii="Times New Roman" w:hAnsi="Times New Roman" w:cs="Times New Roman"/>
          <w:color w:val="00000A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referente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ao primeiro semestre de 2020. Para tanto, solicita-se que o acadêmico interessado leia atentamente as informações contidas neste Edital.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1. DO CRONOGRAMA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tabela abaixo lista as datas de início e término das etapas existentes para a candidatura dos acadêmicos interessados na mobilidade virtual em 2020-1.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</w:rPr>
      </w:pPr>
    </w:p>
    <w:tbl>
      <w:tblPr>
        <w:tblW w:w="9672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8" w:type="dxa"/>
          <w:bottom w:w="28" w:type="dxa"/>
        </w:tblCellMar>
        <w:tblLook w:val="04A0" w:firstRow="1" w:lastRow="0" w:firstColumn="1" w:lastColumn="0" w:noHBand="0" w:noVBand="1"/>
      </w:tblPr>
      <w:tblGrid>
        <w:gridCol w:w="2775"/>
        <w:gridCol w:w="6897"/>
      </w:tblGrid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04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novembro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novembro de 2019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Captação das vagas a serem ofertadas em 2020-1 junto às IES que desejam participar do programa. </w:t>
            </w:r>
          </w:p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Período de aprovação do edital único.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de novembro a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novembro de 2019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 w:rsidP="00584894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Tabulação e publicação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das vagas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no site oficial.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novembro a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janeiro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de 2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 w:rsidP="00584894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Prazo para Inscrição na Mobilidade com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>o responsável institucional do Curso n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a IES de origem, </w:t>
            </w:r>
            <w:r w:rsidR="00584894" w:rsidRPr="001C362E">
              <w:rPr>
                <w:rFonts w:ascii="Times New Roman" w:hAnsi="Times New Roman" w:cs="Times New Roman"/>
                <w:sz w:val="24"/>
                <w:szCs w:val="24"/>
              </w:rPr>
              <w:t>em observância ao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Edital Único.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B0273E" w:rsidP="00B0273E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janeiro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 a 2</w:t>
            </w: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 xml:space="preserve">10 de fevereiro  de </w:t>
            </w:r>
            <w:r w:rsidR="00C517FC" w:rsidRPr="001C362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Prazo de análise das candidaturas pelas IES de destino.</w:t>
            </w:r>
          </w:p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Prazo para envio da Carta Aceite ou Carta Recusa para a IES de origem.</w:t>
            </w:r>
          </w:p>
        </w:tc>
      </w:tr>
      <w:tr w:rsidR="00F8621D" w:rsidRPr="001C362E" w:rsidTr="00584894">
        <w:tc>
          <w:tcPr>
            <w:tcW w:w="27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88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A partir de fevereiro/março de 2020</w:t>
            </w:r>
          </w:p>
        </w:tc>
        <w:tc>
          <w:tcPr>
            <w:tcW w:w="68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</w:tcMar>
          </w:tcPr>
          <w:p w:rsidR="00F8621D" w:rsidRPr="001C362E" w:rsidRDefault="00C517FC">
            <w:pPr>
              <w:pStyle w:val="Contedodatabela"/>
              <w:jc w:val="center"/>
              <w:rPr>
                <w:rFonts w:ascii="Times New Roman" w:eastAsia="Roboto;RobotoDraft;Helvetica;Ar" w:hAnsi="Times New Roman" w:cs="Times New Roman"/>
              </w:rPr>
            </w:pPr>
            <w:r w:rsidRPr="001C362E">
              <w:rPr>
                <w:rFonts w:ascii="Times New Roman" w:hAnsi="Times New Roman" w:cs="Times New Roman"/>
                <w:sz w:val="24"/>
                <w:szCs w:val="24"/>
              </w:rPr>
              <w:t>Início das aulas conforme calendário acadêmico de cada IES</w:t>
            </w:r>
          </w:p>
        </w:tc>
      </w:tr>
    </w:tbl>
    <w:p w:rsidR="00B0273E" w:rsidRPr="001C362E" w:rsidRDefault="00B0273E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2. DAS INSCRIÇÕES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As inscrições serão recebidas pelo endereço de correio eletrônico dos coordenadores de cada IES, conforme Quadro de Vagas Ofertadas, por correio ou pessoalmente no endereço de cada IES, e 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lastRenderedPageBreak/>
        <w:t>s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erão analisadas em horário comercial, respeitando os prazos constantes no cronograma do item 1. As inscrições serão analisadas somente se acompanhadas da documentação exigida no item 4.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 xml:space="preserve">3. DAS VAGAS OFERTADAS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1C362E" w:rsidRPr="001C362E" w:rsidRDefault="00C517FC" w:rsidP="001C362E">
      <w:pPr>
        <w:pStyle w:val="Padr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Os cursos, as disciplinas e a quantidade de vagas ofertados pelas IES para o semestre 2020-1 estão relacionados no Quadro de Vagas Ofertadas - </w:t>
      </w: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Anexo 1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.</w:t>
      </w:r>
      <w:r w:rsidR="001C362E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  (</w:t>
      </w:r>
      <w:proofErr w:type="gramStart"/>
      <w:r w:rsidR="001C362E" w:rsidRPr="001C362E">
        <w:rPr>
          <w:rFonts w:ascii="Times New Roman" w:eastAsia="Times New Roman" w:hAnsi="Times New Roman" w:cs="Times New Roman"/>
          <w:color w:val="00000A"/>
          <w:sz w:val="24"/>
        </w:rPr>
        <w:t>a</w:t>
      </w:r>
      <w:proofErr w:type="gramEnd"/>
      <w:r w:rsidR="001C362E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ser disponibilizado quando estiver com as respectivas disciplinas e vagas informadas)</w:t>
      </w:r>
    </w:p>
    <w:p w:rsidR="00F8621D" w:rsidRPr="001C362E" w:rsidRDefault="00F8621D" w:rsidP="001C362E">
      <w:pPr>
        <w:pStyle w:val="Padro"/>
        <w:jc w:val="both"/>
        <w:rPr>
          <w:rFonts w:ascii="Times New Roman" w:hAnsi="Times New Roman" w:cs="Times New Roman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4. DOS REQUISITOS PARA A CANDIDATURA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 candidato à mobilidade acadêmica deve enviar ou entregar os documentos dentro do prazo informado no item 1: 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  <w:sz w:val="24"/>
          <w:szCs w:val="21"/>
        </w:rPr>
      </w:pPr>
      <w:r w:rsidRPr="001C362E">
        <w:rPr>
          <w:rFonts w:ascii="Times New Roman" w:hAnsi="Times New Roman" w:cs="Times New Roman"/>
          <w:b/>
          <w:bCs/>
          <w:color w:val="00000A"/>
          <w:sz w:val="24"/>
          <w:szCs w:val="21"/>
        </w:rPr>
        <w:t>Declaração de Matrícula</w:t>
      </w:r>
      <w:r w:rsidRPr="001C362E">
        <w:rPr>
          <w:rFonts w:ascii="Times New Roman" w:hAnsi="Times New Roman" w:cs="Times New Roman"/>
          <w:color w:val="00000A"/>
          <w:sz w:val="24"/>
          <w:szCs w:val="21"/>
        </w:rPr>
        <w:t>, atualizada e expedida pela secretaria acadêmica constando a média geral;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Histórico Acadêmico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contendo as disciplinas já cursadas e as em curso. Caso no Histórico não constem as disciplinas em curso, uma declaração deve ser emitida pela universidade e acompanhar o Histórico;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Plano de Estudos (PE)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conforme modelo disponível no Anexo 2, devidamente preenchido e assinado pelo estudante e pelo Coordenador</w:t>
      </w:r>
      <w:r w:rsidR="0081722F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(a) d</w:t>
      </w:r>
      <w:r w:rsidR="0081722F" w:rsidRPr="001C362E">
        <w:rPr>
          <w:rFonts w:ascii="Times New Roman" w:eastAsia="Times New Roman" w:hAnsi="Times New Roman" w:cs="Times New Roman"/>
          <w:color w:val="00000A"/>
          <w:sz w:val="24"/>
        </w:rPr>
        <w:t>a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proofErr w:type="spellStart"/>
      <w:r w:rsidRPr="001C362E">
        <w:rPr>
          <w:rFonts w:ascii="Times New Roman" w:eastAsia="Times New Roman" w:hAnsi="Times New Roman" w:cs="Times New Roman"/>
          <w:color w:val="00000A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da IES de origem. Caso o Coordenador necessite das Ementas de Disciplinas ou outras informações deverá acessar um dos meios de contato informados no item 6;</w:t>
      </w:r>
    </w:p>
    <w:p w:rsidR="00F8621D" w:rsidRPr="001C362E" w:rsidRDefault="00C517FC">
      <w:pPr>
        <w:pStyle w:val="Padro"/>
        <w:numPr>
          <w:ilvl w:val="0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Carta de Recomendação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, emitida pelo departamento, setor ou coordenação responsável pela mobilidade acadêmica na universidade do candidato, informando: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os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dados de contato do candidato;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que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o candidato se encontra devidamente matriculado na instituição;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que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o candidato não está cursando o primeiro e o último períodos;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  <w:color w:val="00000A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que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o cronograma letivo dos cursos das duas universidades são compatíveis;</w:t>
      </w:r>
    </w:p>
    <w:p w:rsidR="00F8621D" w:rsidRPr="001C362E" w:rsidRDefault="00C517FC">
      <w:pPr>
        <w:pStyle w:val="Padro"/>
        <w:numPr>
          <w:ilvl w:val="1"/>
          <w:numId w:val="1"/>
        </w:numPr>
        <w:ind w:hanging="359"/>
        <w:jc w:val="both"/>
        <w:rPr>
          <w:rFonts w:ascii="Times New Roman" w:hAnsi="Times New Roman" w:cs="Times New Roman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que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o candidato está apto à mobilidade acadêmica em 2020.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A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Para o envio da candidatura por meio de endereço eletrônico, é imprescindível que a cópia digitalizada da documentação acima esteja legível. Caso o candidato seja aceito na mobilidade,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lastRenderedPageBreak/>
        <w:t>deverá apresentar a documentação original ao departamento de mobilidade acadêmica antes do início do período letivo informado no item 3.</w:t>
      </w:r>
    </w:p>
    <w:p w:rsidR="0081722F" w:rsidRPr="001C362E" w:rsidRDefault="0081722F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81722F" w:rsidRPr="001C362E" w:rsidRDefault="0081722F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5. DA SELEÇÃO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seleção dos candidatos às vagas disponíveis obedecerá os critérios de ordem de recebimento das candidaturas (por e-mail e correios), do preenchimento de todos os requisitos do item 4, </w:t>
      </w:r>
      <w:proofErr w:type="gramStart"/>
      <w:r w:rsidRPr="001C362E">
        <w:rPr>
          <w:rFonts w:ascii="Times New Roman" w:eastAsia="Times New Roman" w:hAnsi="Times New Roman" w:cs="Times New Roman"/>
          <w:color w:val="00000A"/>
          <w:sz w:val="24"/>
        </w:rPr>
        <w:t>e  da</w:t>
      </w:r>
      <w:proofErr w:type="gramEnd"/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análise pelo Coordenador de Curso das disciplinas solicitadas no Plano de Estudos do candidato. Como critérios de desempate, será levado em conta o desempenho acadêmico e a média global das notas do candidato. 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O candidato e o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Coordenador do Curso na Instituição de Origem </w:t>
      </w:r>
      <w:r w:rsidRPr="001C362E">
        <w:rPr>
          <w:rFonts w:ascii="Times New Roman" w:eastAsia="Times New Roman" w:hAnsi="Times New Roman" w:cs="Times New Roman"/>
          <w:color w:val="00000A"/>
          <w:sz w:val="24"/>
        </w:rPr>
        <w:t>serão informados do resultado dentro do prazo constante no item 1, por meio da Carta de Aceite (total ou parcial) ou Carta de Recusa de mobilidade acadêmica, que justificarão o resultado, quando necessário.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A inexatidão e/ou irregularidade nos documentos solicitados, verificadas a qualquer tempo e em especial por ocasião da mobilidade acadêmica na IES de destino, acarretarão na anulação da seleção com todas as consequências legais correspondentes. 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hAnsi="Times New Roman" w:cs="Times New Roman"/>
        </w:rPr>
      </w:pPr>
      <w:r w:rsidRPr="001C362E">
        <w:rPr>
          <w:rFonts w:ascii="Times New Roman" w:eastAsia="Times New Roman" w:hAnsi="Times New Roman" w:cs="Times New Roman"/>
          <w:b/>
          <w:color w:val="00000A"/>
          <w:sz w:val="24"/>
        </w:rPr>
        <w:t>6. DO CONTATO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2D5CC2" w:rsidRDefault="00C517FC" w:rsidP="002D5CC2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Informações adicionais sobre a candidatura para a mobilidade acadêmica pelo Programa de Mobilidade Virtual ABRUEM 2020-1 </w:t>
      </w:r>
      <w:r w:rsidR="00B80150" w:rsidRPr="001C362E">
        <w:rPr>
          <w:rFonts w:ascii="Times New Roman" w:eastAsia="Times New Roman" w:hAnsi="Times New Roman" w:cs="Times New Roman"/>
          <w:color w:val="00000A"/>
          <w:sz w:val="24"/>
        </w:rPr>
        <w:t>nã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t>o previstas neste edital, poderão</w:t>
      </w:r>
      <w:r w:rsidR="00B80150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ser solicitadas </w:t>
      </w:r>
      <w:r w:rsidR="002D5CC2" w:rsidRPr="001C362E"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 w:rsidR="002F1F70">
        <w:rPr>
          <w:rFonts w:ascii="Times New Roman" w:eastAsia="Times New Roman" w:hAnsi="Times New Roman" w:cs="Times New Roman"/>
          <w:color w:val="00000A"/>
          <w:sz w:val="24"/>
        </w:rPr>
        <w:t>pelo e-mail</w:t>
      </w:r>
      <w:r w:rsidR="00341E25">
        <w:rPr>
          <w:rFonts w:ascii="Times New Roman" w:eastAsia="Times New Roman" w:hAnsi="Times New Roman" w:cs="Times New Roman"/>
          <w:color w:val="00000A"/>
          <w:sz w:val="24"/>
        </w:rPr>
        <w:t xml:space="preserve">: </w:t>
      </w:r>
      <w:hyperlink r:id="rId8" w:history="1">
        <w:r w:rsidR="00341E25" w:rsidRPr="00876888">
          <w:rPr>
            <w:rStyle w:val="Hyperlink"/>
            <w:rFonts w:ascii="Times New Roman" w:eastAsia="Times New Roman" w:hAnsi="Times New Roman" w:cs="Times New Roman"/>
            <w:sz w:val="24"/>
          </w:rPr>
          <w:t>mobilidadevirtual.abruem@gmail.com</w:t>
        </w:r>
      </w:hyperlink>
    </w:p>
    <w:p w:rsidR="00341E25" w:rsidRPr="001C362E" w:rsidRDefault="00341E25" w:rsidP="002D5CC2">
      <w:pPr>
        <w:pStyle w:val="Padr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2D5CC2" w:rsidRPr="001C362E" w:rsidRDefault="002D5CC2" w:rsidP="002D5CC2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2D5CC2" w:rsidRPr="001C362E" w:rsidRDefault="002D5CC2" w:rsidP="002D5CC2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1C362E" w:rsidRPr="001C362E" w:rsidRDefault="001C362E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</w:rPr>
      </w:pPr>
    </w:p>
    <w:p w:rsidR="00F8621D" w:rsidRPr="001C362E" w:rsidRDefault="00B80150">
      <w:pPr>
        <w:pStyle w:val="Padro"/>
        <w:jc w:val="center"/>
        <w:rPr>
          <w:rFonts w:ascii="Times New Roman" w:hAnsi="Times New Roman" w:cs="Times New Roman"/>
          <w:color w:val="000000" w:themeColor="text1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Reitor Marcus Tomasi</w:t>
      </w: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A"/>
          <w:sz w:val="24"/>
        </w:rPr>
        <w:t xml:space="preserve">Presidente da Câmara de </w:t>
      </w:r>
      <w:proofErr w:type="spellStart"/>
      <w:r w:rsidRPr="001C362E">
        <w:rPr>
          <w:rFonts w:ascii="Times New Roman" w:eastAsia="Times New Roman" w:hAnsi="Times New Roman" w:cs="Times New Roman"/>
          <w:b/>
          <w:bCs/>
          <w:color w:val="00000A"/>
          <w:sz w:val="24"/>
        </w:rPr>
        <w:t>EaD</w:t>
      </w:r>
      <w:proofErr w:type="spellEnd"/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</w:rPr>
      </w:pPr>
      <w:r w:rsidRPr="001C362E">
        <w:rPr>
          <w:rFonts w:ascii="Times New Roman" w:hAnsi="Times New Roman" w:cs="Times New Roman"/>
        </w:rPr>
        <w:br w:type="page"/>
      </w: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F8621D" w:rsidRPr="001C362E" w:rsidRDefault="00C517FC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FLUXOGRAMA</w:t>
      </w:r>
    </w:p>
    <w:p w:rsidR="00F8621D" w:rsidRPr="001C362E" w:rsidRDefault="00F8621D">
      <w:pPr>
        <w:pStyle w:val="Padr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1ª ETAPA: Captação das Vagas a serem ofertadas em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O Presidente da Câmara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ABRUEM comunica aos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Reitores, Pró-Reitores de Graduação e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Coordenadores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das universidades filiadas à ABRUEM sobre o lançamento do Programa de Mobilidade Virtual da ABRUEM, convidando-os para aderir ao Programa, mediante o cadastramento de vagas a serem ofertadas no 1º semestre de 2020.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instituição participante do Programa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realiza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consulta aos Coordenadores de Curso sobre as vagas a serem ofertadas no 1º semestre de 2020 e comunica ao Presidente da Câmara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ABRUEM, mediante preenchimento do Anexo II.</w:t>
      </w:r>
    </w:p>
    <w:p w:rsidR="00F8621D" w:rsidRPr="001C362E" w:rsidRDefault="00F8621D">
      <w:pPr>
        <w:pStyle w:val="Padro"/>
        <w:jc w:val="both"/>
        <w:rPr>
          <w:rFonts w:ascii="Times New Roman" w:hAnsi="Times New Roman" w:cs="Times New Roman"/>
          <w:color w:val="000000" w:themeColor="text1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2ª ETAPA: Tabulação das Vagas e lançamento do Edital do Programa de Mobilidade Virtual da ABRUEM –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a) Após</w:t>
      </w:r>
      <w:proofErr w:type="gram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recebimento do Anexo II preenchido com as vagas a serem ofertados em cada instituição aderente ao Programa, o Presidente da Câmara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ABRUEM reunirá as informações e as inserirá na minuta do Edital, para oficialmente lançar o Programa de Mobilidade Virtual da ABRUEM, edição 2020-1.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A partir do lançamento do Programa de Mobilidade Virtual da ABRUEM, edição 2020-1, a Coordenação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das instituições participantes do Programa, com apoio dos coordenadores dos Cursos, divulgará o Edital para os estudantes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instituição.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3ª ETAPA: Inscrição dos estudantes no Edital do Programa de Mobilidade Virtual da ABRUEM – 2020-1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a) O estudante interessado em participar do Programa de Mobilidade Virtual da ABRUEM, edição 2020-1, deve preencher e assinar o Anexo I, e entrar em contato com a Coordenação do seu respectivo Curso, para obter a anuência para apresentar candidatura de participação e inscrição para mobilidade em outra instituição participante do Programa.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gram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b) Após</w:t>
      </w:r>
      <w:proofErr w:type="gram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 anuência do Coordenador do seu respectivo Curso, o estudante envia o Anexo I devidamente assinado e acompanhado dos demais documentos indicados no Edital, para o e-mail do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instituição de destino, conforme indicado no Edital do Programa.</w:t>
      </w:r>
    </w:p>
    <w:p w:rsidR="00F8621D" w:rsidRPr="001C362E" w:rsidRDefault="00F8621D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4ª ETAPA: Análise das candidaturas e divulgação do resultado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a) 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instituição participante do Programa ao receber as candidaturas, encaminhará estas para que os respectivos Coordenadores de Curso procedam as devidas análises.</w:t>
      </w:r>
    </w:p>
    <w:p w:rsidR="00F8621D" w:rsidRPr="001C362E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b)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Apósa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análise das candidaturas, o Coordenador de Curso comunica o resultado ao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que conforme a estrutura institucional para operacionalização dos processos de 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mobilidade poderá contar com o apoio de outro setor, para a emissão de Carta de Aceite (total ou parcial) ou de Recusa em relação à candidatura.</w:t>
      </w:r>
    </w:p>
    <w:p w:rsidR="001761D4" w:rsidRDefault="00C517FC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c) 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com o apoio do setor responsável pela mobilidade na sua respectiva instituição, encaminhará a Carta de Aceite ou de Recusa ao candidato à mobilidade, com cópia ao Coordenador de </w:t>
      </w:r>
      <w:proofErr w:type="spellStart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EaD</w:t>
      </w:r>
      <w:proofErr w:type="spellEnd"/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da instituição do candidato. Caso o estudante seja </w:t>
      </w:r>
      <w:r w:rsidR="0081722F"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a</w:t>
      </w: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ceito, neste comunicado também serão encaminhadas orientações quanto aos procedimentos de matrícula e sobre o início das aulas referentes à mobilidade.</w:t>
      </w:r>
    </w:p>
    <w:p w:rsidR="001761D4" w:rsidRDefault="001761D4">
      <w:pPr>
        <w:pStyle w:val="Padr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F8621D" w:rsidRPr="001C362E" w:rsidRDefault="001761D4">
      <w:pPr>
        <w:pStyle w:val="Padr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>5</w:t>
      </w:r>
      <w:bookmarkStart w:id="0" w:name="_GoBack"/>
      <w:bookmarkEnd w:id="0"/>
      <w:r w:rsidR="00C517FC" w:rsidRPr="001C362E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ª ETAPA: Procedimentos para matrícula, início e acompanhamento das aulas</w:t>
      </w:r>
    </w:p>
    <w:p w:rsidR="002D5CC2" w:rsidRPr="001C362E" w:rsidRDefault="00C517FC" w:rsidP="00AA1DB3">
      <w:pPr>
        <w:pStyle w:val="Padr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C362E">
        <w:rPr>
          <w:rFonts w:ascii="Times New Roman" w:eastAsia="Times New Roman" w:hAnsi="Times New Roman" w:cs="Times New Roman"/>
          <w:color w:val="000000" w:themeColor="text1"/>
          <w:sz w:val="24"/>
        </w:rPr>
        <w:t>No e-mail em que o estudante será comunicado de seu Aceite na instituição de destino, o estudante receberá as informações sobre os procedimentos para a matrícula e sobre o início e acompanhamento das aulas das disciplinas que cursará durante a mobilidade.</w:t>
      </w:r>
    </w:p>
    <w:sectPr w:rsidR="002D5CC2" w:rsidRPr="001C362E" w:rsidSect="002D5CC2">
      <w:headerReference w:type="default" r:id="rId9"/>
      <w:pgSz w:w="12240" w:h="15840"/>
      <w:pgMar w:top="1497" w:right="1440" w:bottom="1418" w:left="1440" w:header="540" w:footer="0" w:gutter="0"/>
      <w:cols w:space="720"/>
      <w:formProt w:val="0"/>
      <w:docGrid w:linePitch="32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3C" w:rsidRDefault="00D84B3C">
      <w:pPr>
        <w:spacing w:line="240" w:lineRule="auto"/>
      </w:pPr>
      <w:r>
        <w:separator/>
      </w:r>
    </w:p>
  </w:endnote>
  <w:endnote w:type="continuationSeparator" w:id="0">
    <w:p w:rsidR="00D84B3C" w:rsidRDefault="00D84B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;RobotoDraft;Helvetica;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3C" w:rsidRDefault="00D84B3C">
      <w:pPr>
        <w:spacing w:line="240" w:lineRule="auto"/>
      </w:pPr>
      <w:r>
        <w:separator/>
      </w:r>
    </w:p>
  </w:footnote>
  <w:footnote w:type="continuationSeparator" w:id="0">
    <w:p w:rsidR="00D84B3C" w:rsidRDefault="00D84B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21D" w:rsidRDefault="00C517FC">
    <w:pPr>
      <w:pStyle w:val="Padro"/>
    </w:pPr>
    <w:r>
      <w:rPr>
        <w:noProof/>
        <w:lang w:eastAsia="pt-BR" w:bidi="ar-SA"/>
      </w:rPr>
      <w:drawing>
        <wp:inline distT="0" distB="0" distL="0" distR="0">
          <wp:extent cx="700405" cy="706755"/>
          <wp:effectExtent l="0" t="0" r="0" b="0"/>
          <wp:docPr id="2" name="Imagem 2" descr="Logo_ABRU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_ABRUE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6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ACF"/>
    <w:multiLevelType w:val="multilevel"/>
    <w:tmpl w:val="168A09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1E5072"/>
    <w:multiLevelType w:val="multilevel"/>
    <w:tmpl w:val="C54C68FA"/>
    <w:lvl w:ilvl="0">
      <w:start w:val="1"/>
      <w:numFmt w:val="lowerLetter"/>
      <w:lvlText w:val="%1."/>
      <w:lvlJc w:val="left"/>
      <w:pPr>
        <w:ind w:left="720" w:firstLine="0"/>
      </w:pPr>
      <w:rPr>
        <w:rFonts w:ascii="Times New Roman" w:hAnsi="Times New Roman"/>
        <w:sz w:val="24"/>
        <w:u w:val="none"/>
      </w:rPr>
    </w:lvl>
    <w:lvl w:ilvl="1">
      <w:start w:val="1"/>
      <w:numFmt w:val="lowerRoman"/>
      <w:lvlText w:val="%2."/>
      <w:lvlJc w:val="left"/>
      <w:pPr>
        <w:ind w:left="1440" w:firstLine="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1D"/>
    <w:rsid w:val="001761D4"/>
    <w:rsid w:val="001C362E"/>
    <w:rsid w:val="002D5CC2"/>
    <w:rsid w:val="002F1F70"/>
    <w:rsid w:val="00341E25"/>
    <w:rsid w:val="00584894"/>
    <w:rsid w:val="005D4CAB"/>
    <w:rsid w:val="00612C25"/>
    <w:rsid w:val="00705F67"/>
    <w:rsid w:val="00737BEB"/>
    <w:rsid w:val="0081722F"/>
    <w:rsid w:val="008C3DA2"/>
    <w:rsid w:val="00A72001"/>
    <w:rsid w:val="00AA1DB3"/>
    <w:rsid w:val="00B0273E"/>
    <w:rsid w:val="00B80150"/>
    <w:rsid w:val="00C517FC"/>
    <w:rsid w:val="00D84B3C"/>
    <w:rsid w:val="00F8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DFA52"/>
  <w15:docId w15:val="{21042FD0-B1DA-422B-A4DD-9C259B4A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zh-CN" w:bidi="hi-IN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character" w:customStyle="1" w:styleId="LinkdaInternet">
    <w:name w:val="Link da Internet"/>
    <w:rPr>
      <w:color w:val="000080"/>
      <w:u w:val="single"/>
      <w:lang w:val="pt-BR" w:eastAsia="pt-BR" w:bidi="pt-BR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rFonts w:ascii="Times New Roman" w:hAnsi="Times New Roman"/>
      <w:sz w:val="24"/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qFormat/>
    <w:pPr>
      <w:widowControl w:val="0"/>
      <w:suppressLineNumbers/>
    </w:pPr>
    <w:rPr>
      <w:rFonts w:cs="Lohit Hindi"/>
      <w:sz w:val="22"/>
    </w:rPr>
  </w:style>
  <w:style w:type="paragraph" w:customStyle="1" w:styleId="Padro">
    <w:name w:val="Padrão"/>
    <w:qFormat/>
    <w:pPr>
      <w:keepNext/>
      <w:tabs>
        <w:tab w:val="left" w:pos="720"/>
      </w:tabs>
      <w:suppressAutoHyphens/>
      <w:spacing w:line="276" w:lineRule="auto"/>
    </w:pPr>
    <w:rPr>
      <w:rFonts w:ascii="Arial" w:eastAsia="Arial" w:hAnsi="Arial" w:cs="Arial"/>
      <w:color w:val="000000"/>
      <w:sz w:val="22"/>
    </w:rPr>
  </w:style>
  <w:style w:type="paragraph" w:customStyle="1" w:styleId="Ttulo11">
    <w:name w:val="Título 11"/>
    <w:basedOn w:val="Ttulo1"/>
    <w:qFormat/>
    <w:pPr>
      <w:keepLines/>
      <w:widowControl w:val="0"/>
      <w:tabs>
        <w:tab w:val="clear" w:pos="720"/>
        <w:tab w:val="left" w:pos="709"/>
      </w:tabs>
      <w:spacing w:before="200" w:after="0" w:line="100" w:lineRule="atLeast"/>
    </w:pPr>
    <w:rPr>
      <w:rFonts w:ascii="Trebuchet MS" w:eastAsia="Trebuchet MS" w:hAnsi="Trebuchet MS" w:cs="Trebuchet MS"/>
      <w:b/>
      <w:bCs/>
      <w:color w:val="00000A"/>
      <w:sz w:val="32"/>
    </w:rPr>
  </w:style>
  <w:style w:type="paragraph" w:customStyle="1" w:styleId="Ttulo1">
    <w:name w:val="Título1"/>
    <w:basedOn w:val="Padro"/>
    <w:qFormat/>
    <w:pPr>
      <w:spacing w:before="240" w:after="120"/>
    </w:pPr>
    <w:rPr>
      <w:rFonts w:eastAsia="Droid Sans Fallback" w:cs="Lohit Hindi"/>
      <w:sz w:val="28"/>
      <w:szCs w:val="28"/>
    </w:rPr>
  </w:style>
  <w:style w:type="paragraph" w:customStyle="1" w:styleId="Corpodetexto1">
    <w:name w:val="Corpo de texto1"/>
    <w:basedOn w:val="Padro"/>
    <w:qFormat/>
    <w:pPr>
      <w:spacing w:after="120"/>
    </w:pPr>
  </w:style>
  <w:style w:type="paragraph" w:customStyle="1" w:styleId="Ttulo21">
    <w:name w:val="Título 21"/>
    <w:basedOn w:val="Ttulo1"/>
    <w:qFormat/>
    <w:pPr>
      <w:keepLines/>
      <w:widowControl w:val="0"/>
      <w:tabs>
        <w:tab w:val="clear" w:pos="720"/>
        <w:tab w:val="left" w:pos="576"/>
        <w:tab w:val="left" w:pos="709"/>
      </w:tabs>
      <w:spacing w:before="200" w:after="0" w:line="100" w:lineRule="atLeast"/>
      <w:outlineLvl w:val="1"/>
    </w:pPr>
    <w:rPr>
      <w:rFonts w:ascii="Trebuchet MS" w:eastAsia="Trebuchet MS" w:hAnsi="Trebuchet MS" w:cs="Trebuchet MS"/>
      <w:b/>
      <w:bCs/>
      <w:i/>
      <w:iCs/>
      <w:color w:val="00000A"/>
      <w:sz w:val="26"/>
    </w:rPr>
  </w:style>
  <w:style w:type="paragraph" w:customStyle="1" w:styleId="Ttulo31">
    <w:name w:val="Título 31"/>
    <w:basedOn w:val="Ttulo1"/>
    <w:qFormat/>
    <w:pPr>
      <w:keepLines/>
      <w:widowControl w:val="0"/>
      <w:tabs>
        <w:tab w:val="clear" w:pos="720"/>
        <w:tab w:val="left" w:pos="709"/>
      </w:tabs>
      <w:spacing w:before="160" w:after="0" w:line="100" w:lineRule="atLeast"/>
      <w:outlineLvl w:val="2"/>
    </w:pPr>
    <w:rPr>
      <w:rFonts w:ascii="Trebuchet MS" w:eastAsia="Trebuchet MS" w:hAnsi="Trebuchet MS" w:cs="Trebuchet MS"/>
      <w:b/>
      <w:bCs/>
      <w:color w:val="666666"/>
      <w:sz w:val="24"/>
    </w:rPr>
  </w:style>
  <w:style w:type="paragraph" w:customStyle="1" w:styleId="Ttulo41">
    <w:name w:val="Título 41"/>
    <w:basedOn w:val="Ttulo1"/>
    <w:qFormat/>
    <w:pPr>
      <w:keepLines/>
      <w:widowControl w:val="0"/>
      <w:tabs>
        <w:tab w:val="clear" w:pos="720"/>
        <w:tab w:val="left" w:pos="709"/>
        <w:tab w:val="left" w:pos="864"/>
      </w:tabs>
      <w:spacing w:before="160" w:after="0" w:line="100" w:lineRule="atLeast"/>
      <w:outlineLvl w:val="3"/>
    </w:pPr>
    <w:rPr>
      <w:rFonts w:ascii="Trebuchet MS" w:eastAsia="Trebuchet MS" w:hAnsi="Trebuchet MS" w:cs="Trebuchet MS"/>
      <w:b/>
      <w:bCs/>
      <w:i/>
      <w:iCs/>
      <w:color w:val="666666"/>
      <w:sz w:val="22"/>
      <w:szCs w:val="20"/>
      <w:u w:val="single"/>
    </w:rPr>
  </w:style>
  <w:style w:type="paragraph" w:customStyle="1" w:styleId="Ttulo51">
    <w:name w:val="Título 51"/>
    <w:basedOn w:val="Ttulo1"/>
    <w:qFormat/>
    <w:pPr>
      <w:keepLines/>
      <w:widowControl w:val="0"/>
      <w:tabs>
        <w:tab w:val="clear" w:pos="720"/>
        <w:tab w:val="left" w:pos="709"/>
        <w:tab w:val="left" w:pos="1008"/>
      </w:tabs>
      <w:spacing w:before="160" w:after="0" w:line="100" w:lineRule="atLeast"/>
      <w:outlineLvl w:val="4"/>
    </w:pPr>
    <w:rPr>
      <w:rFonts w:ascii="Trebuchet MS" w:eastAsia="Trebuchet MS" w:hAnsi="Trebuchet MS" w:cs="Trebuchet MS"/>
      <w:b/>
      <w:bCs/>
      <w:color w:val="666666"/>
      <w:sz w:val="22"/>
      <w:szCs w:val="20"/>
    </w:rPr>
  </w:style>
  <w:style w:type="paragraph" w:customStyle="1" w:styleId="Ttulo61">
    <w:name w:val="Título 61"/>
    <w:basedOn w:val="Ttulo1"/>
    <w:qFormat/>
    <w:pPr>
      <w:keepLines/>
      <w:widowControl w:val="0"/>
      <w:tabs>
        <w:tab w:val="clear" w:pos="720"/>
        <w:tab w:val="left" w:pos="709"/>
        <w:tab w:val="left" w:pos="1152"/>
      </w:tabs>
      <w:spacing w:before="160" w:after="0" w:line="100" w:lineRule="atLeast"/>
      <w:outlineLvl w:val="5"/>
    </w:pPr>
    <w:rPr>
      <w:rFonts w:ascii="Trebuchet MS" w:eastAsia="Trebuchet MS" w:hAnsi="Trebuchet MS" w:cs="Trebuchet MS"/>
      <w:b/>
      <w:bCs/>
      <w:i/>
      <w:color w:val="666666"/>
      <w:sz w:val="22"/>
      <w:szCs w:val="18"/>
    </w:rPr>
  </w:style>
  <w:style w:type="paragraph" w:customStyle="1" w:styleId="Lista1">
    <w:name w:val="Lista1"/>
    <w:basedOn w:val="Corpodetexto1"/>
    <w:qFormat/>
    <w:rPr>
      <w:rFonts w:cs="Lohit Hindi"/>
    </w:rPr>
  </w:style>
  <w:style w:type="paragraph" w:customStyle="1" w:styleId="Legenda1">
    <w:name w:val="Legenda1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Ttuloprincipal">
    <w:name w:val="Título principal"/>
    <w:basedOn w:val="Normal"/>
    <w:qFormat/>
    <w:pPr>
      <w:keepLines/>
      <w:spacing w:line="100" w:lineRule="atLeast"/>
      <w:jc w:val="center"/>
    </w:pPr>
    <w:rPr>
      <w:rFonts w:ascii="Trebuchet MS" w:eastAsia="Trebuchet MS" w:hAnsi="Trebuchet MS" w:cs="Trebuchet MS"/>
      <w:b/>
      <w:bCs/>
      <w:sz w:val="42"/>
      <w:szCs w:val="36"/>
    </w:rPr>
  </w:style>
  <w:style w:type="paragraph" w:customStyle="1" w:styleId="Subttulo1">
    <w:name w:val="Subtítulo1"/>
    <w:basedOn w:val="Normal"/>
    <w:qFormat/>
    <w:pPr>
      <w:keepLines/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paragraph" w:customStyle="1" w:styleId="Cabealho1">
    <w:name w:val="Cabeçalho1"/>
    <w:basedOn w:val="Padro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Style12">
    <w:name w:val="_Style 12"/>
    <w:basedOn w:val="Tabelanormal"/>
    <w:rsid w:val="001C362E"/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table" w:customStyle="1" w:styleId="Style13">
    <w:name w:val="_Style 13"/>
    <w:basedOn w:val="Tabelanormal"/>
    <w:rsid w:val="001C362E"/>
    <w:rPr>
      <w:rFonts w:ascii="Arial" w:eastAsia="Arial" w:hAnsi="Arial" w:cs="Arial"/>
    </w:rPr>
    <w:tblPr>
      <w:tblInd w:w="0" w:type="nil"/>
      <w:tblCellMar>
        <w:left w:w="0" w:type="dxa"/>
        <w:right w:w="0" w:type="dxa"/>
      </w:tblCellMar>
    </w:tblPr>
  </w:style>
  <w:style w:type="character" w:styleId="Hyperlink">
    <w:name w:val="Hyperlink"/>
    <w:basedOn w:val="Fontepargpadro"/>
    <w:rsid w:val="00341E25"/>
    <w:rPr>
      <w:color w:val="0000FF" w:themeColor="hyperlink"/>
      <w:u w:val="single"/>
    </w:rPr>
  </w:style>
  <w:style w:type="paragraph" w:styleId="Rodap">
    <w:name w:val="footer"/>
    <w:basedOn w:val="Normal"/>
    <w:link w:val="RodapChar"/>
    <w:rsid w:val="00AA1DB3"/>
    <w:pPr>
      <w:tabs>
        <w:tab w:val="clear" w:pos="720"/>
        <w:tab w:val="center" w:pos="4252"/>
        <w:tab w:val="right" w:pos="8504"/>
      </w:tabs>
      <w:spacing w:line="240" w:lineRule="auto"/>
    </w:pPr>
    <w:rPr>
      <w:rFonts w:cs="Mangal"/>
    </w:rPr>
  </w:style>
  <w:style w:type="character" w:customStyle="1" w:styleId="RodapChar">
    <w:name w:val="Rodapé Char"/>
    <w:basedOn w:val="Fontepargpadro"/>
    <w:link w:val="Rodap"/>
    <w:rsid w:val="00AA1DB3"/>
    <w:rPr>
      <w:rFonts w:ascii="Arial" w:eastAsia="Arial" w:hAnsi="Arial" w:cs="Mangal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dadevirtual.abrue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2015-1 (modelo).docx</vt:lpstr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2015-1 (modelo).docx</dc:title>
  <dc:subject/>
  <dc:creator>ueg</dc:creator>
  <dc:description/>
  <cp:lastModifiedBy>CARMEN MARIA CIPRIANI PANDINI</cp:lastModifiedBy>
  <cp:revision>5</cp:revision>
  <dcterms:created xsi:type="dcterms:W3CDTF">2019-11-05T16:31:00Z</dcterms:created>
  <dcterms:modified xsi:type="dcterms:W3CDTF">2019-11-05T16:33:00Z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1046-10.1.0.5672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